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8D" w:rsidRPr="0062218D" w:rsidRDefault="0062218D" w:rsidP="006221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2218D">
        <w:rPr>
          <w:rFonts w:ascii="Times New Roman" w:hAnsi="Times New Roman" w:cs="Times New Roman"/>
          <w:b/>
          <w:sz w:val="28"/>
          <w:szCs w:val="28"/>
        </w:rPr>
        <w:t xml:space="preserve">Изменения в законодательстве об уголовной ответственности за неуплату </w:t>
      </w:r>
      <w:bookmarkEnd w:id="0"/>
      <w:r w:rsidRPr="0062218D">
        <w:rPr>
          <w:rFonts w:ascii="Times New Roman" w:hAnsi="Times New Roman" w:cs="Times New Roman"/>
          <w:b/>
          <w:sz w:val="28"/>
          <w:szCs w:val="28"/>
        </w:rPr>
        <w:t>средств на содержание детей или нетрудоспособных родителей.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Что надо знать об этой теме в 2022 году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 xml:space="preserve">С 10 января 2022 года вступили в силу изменения в статью 157 Уголовного кодекса РФ об ответственности за неуплату средств на содержание детей или нетрудоспособных родителей. 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Нововведение было необходимо, поскольку случалось так, что должники платили алименты в меньшем размере, чем установлено судом. Если раньше это расценивалось, как выполнение обязательств гражданина, то теперь даже частичная неуплата грозит наказанием.</w:t>
      </w:r>
    </w:p>
    <w:p w:rsid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Так, должник, обязан выплачивать средства на содержание несовершеннолетних детей или нетрудоспособных родителей в том размере, которые установил суд или нотариально удостоверенное соглашение. Исключение составляют случаи, когда гражданин имеет уважительные причины на неполную уплату алиментов. При этом от уголовной ответственности должник освобождается только в том случае, когда его задолженность будет полностью погашена.</w:t>
      </w:r>
    </w:p>
    <w:p w:rsidR="00CB087C" w:rsidRDefault="00CB087C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вступили в силу с 10 января 2022 года.</w:t>
      </w: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218D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D8"/>
    <w:rsid w:val="00311E99"/>
    <w:rsid w:val="004D0BD8"/>
    <w:rsid w:val="00541045"/>
    <w:rsid w:val="0062218D"/>
    <w:rsid w:val="009D5ECA"/>
    <w:rsid w:val="00A3381E"/>
    <w:rsid w:val="00CB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2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2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4</cp:revision>
  <dcterms:created xsi:type="dcterms:W3CDTF">2022-04-19T10:26:00Z</dcterms:created>
  <dcterms:modified xsi:type="dcterms:W3CDTF">2022-04-19T11:03:00Z</dcterms:modified>
</cp:coreProperties>
</file>