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before="0"/>
        <w:ind w:firstLine="0" w:left="0" w:righ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Давлекановского района разъясняет</w:t>
      </w:r>
    </w:p>
    <w:p w14:paraId="07000000">
      <w:pPr>
        <w:widowControl w:val="0"/>
        <w:spacing w:after="0" w:before="0" w:line="240" w:lineRule="auto"/>
        <w:ind w:right="0"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widowControl w:val="0"/>
        <w:spacing w:after="0" w:before="0" w:line="240" w:lineRule="auto"/>
        <w:ind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Ответственность за экстремизм</w:t>
      </w:r>
    </w:p>
    <w:p w14:paraId="09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Российской Федерации экстремистская деятельность находится под запретом, а соблюдение этого запрета - под строгим контролем. Подобная строгость обусловлена в том числе обширным многонациональным и многоконфессиональным составом нашего государства, что требует пристального внимания и необходимости быстрого реагирования на попытки отдельных лиц и организаций посеять рознь между народами и различными группами населения нашей страны. Противодействие экстремизму осуществляется на федеральном, региональном и местном уровнях. Рассмотрим правовую основу такого противодействия.</w:t>
      </w:r>
    </w:p>
    <w:p w14:paraId="0B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Экстремизм во всех его проявлениях ведет к нарушению гражданского мира и согласия, основных прав и свобод человека и гражданина, подрывает государственную и общественную безопасность, создает реальную угрозу суверенитету, единству и территориальной целостности РФ, основам конституционного строя РФ, а также межнациональному (межэтническому), межконфессиональному единству и гражданскому е</w:t>
      </w:r>
      <w:r>
        <w:rPr>
          <w:rFonts w:ascii="Times New Roman" w:hAnsi="Times New Roman"/>
          <w:b w:val="0"/>
          <w:color w:val="000000"/>
          <w:sz w:val="28"/>
          <w:u w:val="none"/>
        </w:rPr>
        <w:t>динению, культурному развитию, политической и социальной стабильности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п. 6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Стратегии противодействия экстремизму в Российской Федерации, утв. Указом Президента РФ от 28.12.2024 N 1124, далее - Стратегия противодействия экстремизму).</w:t>
      </w:r>
    </w:p>
    <w:p w14:paraId="0C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На основании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15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Закона о противодействии экстремизму за осуществление экстремистской деятельности граждане РФ, иностранные граждане и лица без гражданства несут уголовную, административную и гражданско-правовую ответственность в установленном законодательством РФ порядке.</w:t>
      </w:r>
    </w:p>
    <w:p w14:paraId="0D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К примеру,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20.3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КоАП РФ предусмотрена административная ответственность за пропаганду либо публичное демон</w:t>
      </w:r>
      <w:r>
        <w:rPr>
          <w:rFonts w:ascii="Times New Roman" w:hAnsi="Times New Roman"/>
          <w:b w:val="0"/>
          <w:color w:val="000000"/>
          <w:sz w:val="28"/>
          <w:u w:val="none"/>
        </w:rPr>
        <w:t>стрирование нацистской атрибутики или символики либо атрибутики или символики, сходных с нацистской атрибутикой или символикой до степени смешения, атрибутики или символики нацистских, экстремистских организаций, а также иных атрибутики или символики, запрещенных федеральными законами, если эти действия не содержат признаков уголовно наказуемого деяния, а также за изготовление или сбыт в целях пропаганды либо приобретение в целях сбыта или пропаганды указанной атрибутики или символики, кроме случаев, когда указанными действиями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идеологии.</w:t>
      </w:r>
    </w:p>
    <w:p w14:paraId="0E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Статьей 13.53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КоАП РФ предусмотрена административная ответственность за умышленное осуществление поиска в информационно-телекоммуникационной сети "Интернет" заведомо экстремистских материалов, включенных в опубликованный федеральный список экстремистских материалов или указанных в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п. 3 ст. 1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Закона о противодействии экстремизму, и получение доступа к ним, в том числе с использованием программно-аппаратных средств доступа к информационным ресурсам, информационно-телекоммуникационным сетям, доступ к которым ограничен.</w:t>
      </w:r>
    </w:p>
    <w:p w14:paraId="0F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УК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РФ, в частности, содержатся следующие составы преступлений экстремистской направленности: </w:t>
      </w:r>
      <w:r>
        <w:rPr>
          <w:rFonts w:ascii="Times New Roman" w:hAnsi="Times New Roman"/>
          <w:b w:val="0"/>
          <w:color w:val="000000"/>
          <w:sz w:val="28"/>
          <w:u w:val="none"/>
        </w:rPr>
        <w:t>публичные призывы (т.е. обращения к другим лицам в любой форме, например в устной, письменной, с использованием технических средств) к осуществлению экстремистской деятельности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280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1); </w:t>
      </w:r>
      <w:r>
        <w:rPr>
          <w:rFonts w:ascii="Times New Roman" w:hAnsi="Times New Roman"/>
          <w:b w:val="0"/>
          <w:color w:val="000000"/>
          <w:sz w:val="28"/>
          <w:u w:val="none"/>
        </w:rPr>
        <w:t>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Интернет, с применением насилия или с угрозой его применения либо лицом с использованием своего служебного положения либо группой лиц, группой лиц по предварительному сговору или организованной группой 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ч. 2 ст. 282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РФ) и другие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10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Также необходимо обратить внимание на то, что на основании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п. "е" ч. 1 ст. 63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 совершение преступления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признается обстоятельством, отягчающим наказание</w:t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11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4_ch" w:type="character">
    <w:name w:val="Normal"/>
    <w:link w:val="Style_4"/>
    <w:rPr>
      <w:rFonts w:asciiTheme="minorAscii" w:hAnsiTheme="minorHAnsi"/>
      <w:sz w:val="22"/>
    </w:rPr>
  </w:style>
  <w:style w:styleId="Style_5" w:type="paragraph">
    <w:name w:val="Г)ПодпТочн"/>
    <w:basedOn w:val="Style_4"/>
    <w:link w:val="Style_5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5_ch" w:type="character">
    <w:name w:val="Г)ПодпТочн"/>
    <w:basedOn w:val="Style_4_ch"/>
    <w:link w:val="Style_5"/>
    <w:rPr>
      <w:rFonts w:ascii="Times New Roman" w:hAnsi="Times New Roman"/>
      <w:sz w:val="28"/>
    </w:rPr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Style1"/>
    <w:basedOn w:val="Style_4"/>
    <w:link w:val="Style_10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10_ch" w:type="character">
    <w:name w:val="Style1"/>
    <w:basedOn w:val="Style_4_ch"/>
    <w:link w:val="Style_10"/>
    <w:rPr>
      <w:rFonts w:ascii="Times New Roman" w:hAnsi="Times New Roman"/>
      <w:sz w:val="24"/>
    </w:rPr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4_ch"/>
    <w:link w:val="Style_2"/>
    <w:rPr>
      <w:rFonts w:ascii="Times New Roman" w:hAnsi="Times New Roman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Б)ШапТочн"/>
    <w:basedOn w:val="Style_4"/>
    <w:link w:val="Style_13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13_ch" w:type="character">
    <w:name w:val="Б)ШапТочн"/>
    <w:basedOn w:val="Style_4_ch"/>
    <w:link w:val="Style_13"/>
    <w:rPr>
      <w:rFonts w:ascii="Times New Roman" w:hAnsi="Times New Roman"/>
      <w:sz w:val="28"/>
    </w:rPr>
  </w:style>
  <w:style w:styleId="Style_14" w:type="paragraph">
    <w:name w:val="Normal (Web)"/>
    <w:basedOn w:val="Style_4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4_ch"/>
    <w:link w:val="Style_14"/>
    <w:rPr>
      <w:rFonts w:ascii="Times New Roman" w:hAnsi="Times New Roman"/>
      <w:sz w:val="24"/>
    </w:rPr>
  </w:style>
  <w:style w:styleId="Style_15" w:type="paragraph">
    <w:name w:val="No Spacing"/>
    <w:link w:val="Style_15_ch"/>
    <w:pPr>
      <w:widowControl w:val="1"/>
      <w:ind/>
      <w:jc w:val="left"/>
    </w:pPr>
    <w:rPr>
      <w:rFonts w:ascii="Calibri" w:hAnsi="Calibri"/>
      <w:sz w:val="22"/>
    </w:rPr>
  </w:style>
  <w:style w:styleId="Style_15_ch" w:type="character">
    <w:name w:val="No Spacing"/>
    <w:link w:val="Style_15"/>
    <w:rPr>
      <w:rFonts w:ascii="Calibri" w:hAnsi="Calibri"/>
      <w:sz w:val="22"/>
    </w:rPr>
  </w:style>
  <w:style w:styleId="Style_16" w:type="paragraph">
    <w:name w:val="toc 3"/>
    <w:next w:val="Style_4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4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В)ЦентТочн"/>
    <w:basedOn w:val="Style_4"/>
    <w:link w:val="Style_18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18_ch" w:type="character">
    <w:name w:val="В)ЦентТочн"/>
    <w:basedOn w:val="Style_4_ch"/>
    <w:link w:val="Style_18"/>
    <w:rPr>
      <w:rFonts w:ascii="Times New Roman" w:hAnsi="Times New Roman"/>
      <w:sz w:val="28"/>
    </w:rPr>
  </w:style>
  <w:style w:styleId="Style_19" w:type="paragraph">
    <w:name w:val="heading 1"/>
    <w:next w:val="Style_4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List Paragraph"/>
    <w:basedOn w:val="Style_4"/>
    <w:link w:val="Style_20_ch"/>
    <w:pPr>
      <w:widowControl w:val="1"/>
      <w:ind w:firstLine="0" w:left="720"/>
      <w:contextualSpacing w:val="1"/>
    </w:pPr>
  </w:style>
  <w:style w:styleId="Style_20_ch" w:type="character">
    <w:name w:val="List Paragraph"/>
    <w:basedOn w:val="Style_4_ch"/>
    <w:link w:val="Style_20"/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4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4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Balloon Text"/>
    <w:basedOn w:val="Style_4"/>
    <w:link w:val="Style_26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6_ch" w:type="character">
    <w:name w:val="Balloon Text"/>
    <w:basedOn w:val="Style_4_ch"/>
    <w:link w:val="Style_26"/>
    <w:rPr>
      <w:rFonts w:ascii="Segoe UI" w:hAnsi="Segoe UI"/>
      <w:sz w:val="18"/>
    </w:rPr>
  </w:style>
  <w:style w:styleId="Style_27" w:type="paragraph">
    <w:name w:val="toc 8"/>
    <w:next w:val="Style_4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4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А)КрСтр"/>
    <w:basedOn w:val="Style_4"/>
    <w:link w:val="Style_29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29_ch" w:type="character">
    <w:name w:val="А)КрСтр"/>
    <w:basedOn w:val="Style_4_ch"/>
    <w:link w:val="Style_29"/>
    <w:rPr>
      <w:rFonts w:ascii="Times New Roman" w:hAnsi="Times New Roman"/>
      <w:sz w:val="28"/>
    </w:rPr>
  </w:style>
  <w:style w:styleId="Style_30" w:type="paragraph">
    <w:name w:val="Subtitle"/>
    <w:next w:val="Style_4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Title"/>
    <w:next w:val="Style_4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4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4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Font Style11"/>
    <w:link w:val="Style_35_ch"/>
    <w:rPr>
      <w:rFonts w:ascii="Times New Roman" w:hAnsi="Times New Roman"/>
      <w:sz w:val="26"/>
    </w:rPr>
  </w:style>
  <w:style w:styleId="Style_35_ch" w:type="character">
    <w:name w:val="Font Style11"/>
    <w:link w:val="Style_35"/>
    <w:rPr>
      <w:rFonts w:ascii="Times New Roman" w:hAnsi="Times New Roman"/>
      <w:sz w:val="26"/>
    </w:rPr>
  </w:style>
  <w:style w:styleId="Style_3" w:type="paragraph">
    <w:name w:val="head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4_ch"/>
    <w:link w:val="Style_3"/>
    <w:rPr>
      <w:rFonts w:ascii="Times New Roman" w:hAnsi="Times New Roman"/>
      <w:sz w:val="28"/>
    </w:r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2026-06-23T05:17:28Z</dcterms:created>
  <dcterms:modified xsi:type="dcterms:W3CDTF">2026-06-23T06:33:10Z</dcterms:modified>
</cp:coreProperties>
</file>