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25" w:rsidRPr="0001688F" w:rsidRDefault="004C1FC1" w:rsidP="00321E25">
      <w:pPr>
        <w:suppressAutoHyphens/>
        <w:jc w:val="center"/>
        <w:rPr>
          <w:b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 район Республики Башкортостан</w:t>
      </w:r>
    </w:p>
    <w:p w:rsidR="00321E25" w:rsidRPr="0001688F" w:rsidRDefault="00321E25" w:rsidP="00321E25">
      <w:pPr>
        <w:suppressAutoHyphens/>
        <w:jc w:val="center"/>
        <w:rPr>
          <w:b/>
          <w:sz w:val="28"/>
          <w:szCs w:val="28"/>
        </w:rPr>
      </w:pPr>
    </w:p>
    <w:p w:rsidR="007A592F" w:rsidRDefault="007A592F" w:rsidP="00F009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>ПОСТАНОВЛЕНИЯ</w:t>
      </w:r>
    </w:p>
    <w:p w:rsidR="00F009A6" w:rsidRPr="0001688F" w:rsidRDefault="00F009A6" w:rsidP="00F009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мая 2020 г. № 24</w:t>
      </w:r>
    </w:p>
    <w:p w:rsidR="007A592F" w:rsidRPr="0001688F" w:rsidRDefault="007A592F" w:rsidP="00C809F5">
      <w:pPr>
        <w:pStyle w:val="a6"/>
        <w:ind w:firstLine="709"/>
        <w:jc w:val="both"/>
        <w:rPr>
          <w:sz w:val="28"/>
          <w:szCs w:val="28"/>
        </w:rPr>
      </w:pPr>
    </w:p>
    <w:p w:rsidR="007A592F" w:rsidRPr="0001688F" w:rsidRDefault="007A592F" w:rsidP="00C809F5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688F">
        <w:rPr>
          <w:rFonts w:ascii="Times New Roman" w:hAnsi="Times New Roman"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сельского поселения </w:t>
      </w:r>
      <w:r w:rsidR="006C384E" w:rsidRPr="0001688F">
        <w:rPr>
          <w:rFonts w:ascii="Times New Roman" w:hAnsi="Times New Roman"/>
          <w:sz w:val="28"/>
          <w:szCs w:val="28"/>
        </w:rPr>
        <w:t>Курманкеевский</w:t>
      </w:r>
      <w:r w:rsidRPr="0001688F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88F">
        <w:rPr>
          <w:rFonts w:ascii="Times New Roman" w:hAnsi="Times New Roman"/>
          <w:sz w:val="28"/>
          <w:szCs w:val="28"/>
        </w:rPr>
        <w:t xml:space="preserve">В целях реализации статьи 174.3 Бюджетного кодекса Российской Федерации, Постановления Правительства Российской Федерации от 22 июня 2019 года N 796 </w:t>
      </w:r>
      <w:r w:rsidR="00C809F5" w:rsidRPr="0001688F">
        <w:rPr>
          <w:rFonts w:ascii="Times New Roman" w:hAnsi="Times New Roman"/>
          <w:sz w:val="28"/>
          <w:szCs w:val="28"/>
        </w:rPr>
        <w:t>«</w:t>
      </w:r>
      <w:r w:rsidRPr="0001688F">
        <w:rPr>
          <w:rFonts w:ascii="Times New Roman" w:hAnsi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C809F5" w:rsidRPr="0001688F">
        <w:rPr>
          <w:rFonts w:ascii="Times New Roman" w:hAnsi="Times New Roman"/>
          <w:sz w:val="28"/>
          <w:szCs w:val="28"/>
        </w:rPr>
        <w:t>»</w:t>
      </w:r>
      <w:r w:rsidRPr="0001688F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r w:rsidR="006C384E" w:rsidRPr="0001688F">
        <w:rPr>
          <w:rFonts w:ascii="Times New Roman" w:hAnsi="Times New Roman"/>
          <w:sz w:val="28"/>
          <w:szCs w:val="28"/>
        </w:rPr>
        <w:t>Курманкеевский</w:t>
      </w:r>
      <w:r w:rsidRPr="0001688F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</w:t>
      </w:r>
      <w:r w:rsidR="00F21D36" w:rsidRPr="0001688F">
        <w:rPr>
          <w:rFonts w:ascii="Times New Roman" w:hAnsi="Times New Roman"/>
          <w:sz w:val="28"/>
          <w:szCs w:val="28"/>
        </w:rPr>
        <w:t xml:space="preserve"> </w:t>
      </w:r>
      <w:r w:rsidRPr="0001688F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 xml:space="preserve">1. Утвердить прилагаемый Порядок формирования перечня налоговых расходов и оценки налоговых расходов сельского поселения </w:t>
      </w:r>
      <w:r w:rsidR="006C384E" w:rsidRPr="0001688F">
        <w:rPr>
          <w:rFonts w:ascii="Times New Roman" w:hAnsi="Times New Roman"/>
          <w:sz w:val="28"/>
          <w:szCs w:val="28"/>
        </w:rPr>
        <w:t>Курманкеевский</w:t>
      </w:r>
      <w:r w:rsidRPr="0001688F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>2. Настоящее постановление вступает в силу с  момента подписания.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9F5" w:rsidRPr="0001688F" w:rsidRDefault="00C809F5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FC1" w:rsidRPr="0001688F" w:rsidRDefault="004C1FC1" w:rsidP="00C809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2F" w:rsidRDefault="00C809F5" w:rsidP="00F009A6">
      <w:pPr>
        <w:shd w:val="clear" w:color="auto" w:fill="FFFFFF"/>
        <w:tabs>
          <w:tab w:val="left" w:pos="7502"/>
        </w:tabs>
        <w:spacing w:after="0" w:line="240" w:lineRule="auto"/>
        <w:ind w:right="-2"/>
        <w:jc w:val="right"/>
        <w:rPr>
          <w:rFonts w:ascii="Times New Roman" w:hAnsi="Times New Roman"/>
          <w:spacing w:val="-7"/>
          <w:sz w:val="28"/>
          <w:szCs w:val="28"/>
        </w:rPr>
      </w:pPr>
      <w:r w:rsidRPr="0001688F">
        <w:rPr>
          <w:rFonts w:ascii="Times New Roman" w:hAnsi="Times New Roman"/>
          <w:spacing w:val="-7"/>
          <w:sz w:val="28"/>
          <w:szCs w:val="28"/>
        </w:rPr>
        <w:t xml:space="preserve">           </w:t>
      </w:r>
      <w:r w:rsidR="007A592F" w:rsidRPr="0001688F">
        <w:rPr>
          <w:rFonts w:ascii="Times New Roman" w:hAnsi="Times New Roman"/>
          <w:spacing w:val="-7"/>
          <w:sz w:val="28"/>
          <w:szCs w:val="28"/>
        </w:rPr>
        <w:t xml:space="preserve">Глава сельского поселения </w:t>
      </w:r>
    </w:p>
    <w:p w:rsidR="00F009A6" w:rsidRDefault="00F009A6" w:rsidP="00F009A6">
      <w:pPr>
        <w:shd w:val="clear" w:color="auto" w:fill="FFFFFF"/>
        <w:tabs>
          <w:tab w:val="left" w:pos="7502"/>
        </w:tabs>
        <w:spacing w:after="0" w:line="240" w:lineRule="auto"/>
        <w:ind w:right="-2"/>
        <w:jc w:val="right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Курманкеевский сельсовет</w:t>
      </w:r>
    </w:p>
    <w:p w:rsidR="00F009A6" w:rsidRDefault="00F009A6" w:rsidP="00F009A6">
      <w:pPr>
        <w:shd w:val="clear" w:color="auto" w:fill="FFFFFF"/>
        <w:tabs>
          <w:tab w:val="left" w:pos="7502"/>
        </w:tabs>
        <w:spacing w:after="0" w:line="240" w:lineRule="auto"/>
        <w:ind w:right="-2"/>
        <w:jc w:val="right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Д. К. Давлетов</w:t>
      </w:r>
    </w:p>
    <w:p w:rsidR="00F009A6" w:rsidRPr="0001688F" w:rsidRDefault="00F009A6" w:rsidP="004C1FC1">
      <w:pPr>
        <w:shd w:val="clear" w:color="auto" w:fill="FFFFFF"/>
        <w:tabs>
          <w:tab w:val="left" w:pos="7502"/>
        </w:tabs>
        <w:spacing w:line="322" w:lineRule="exact"/>
        <w:ind w:right="-2"/>
        <w:rPr>
          <w:rFonts w:ascii="Times New Roman" w:hAnsi="Times New Roman"/>
          <w:spacing w:val="-7"/>
          <w:sz w:val="28"/>
          <w:szCs w:val="28"/>
        </w:rPr>
      </w:pPr>
    </w:p>
    <w:p w:rsidR="007A592F" w:rsidRPr="0001688F" w:rsidRDefault="007A592F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809F5" w:rsidRPr="0001688F" w:rsidRDefault="00C809F5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809F5" w:rsidRPr="0001688F" w:rsidRDefault="00C809F5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809F5" w:rsidRPr="0001688F" w:rsidRDefault="00C809F5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809F5" w:rsidRPr="0001688F" w:rsidRDefault="00C809F5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809F5" w:rsidRPr="0001688F" w:rsidRDefault="00C809F5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88F">
        <w:rPr>
          <w:rFonts w:ascii="Times New Roman" w:hAnsi="Times New Roman"/>
          <w:sz w:val="24"/>
          <w:szCs w:val="24"/>
        </w:rPr>
        <w:t xml:space="preserve">Приложение </w:t>
      </w:r>
    </w:p>
    <w:p w:rsidR="007A592F" w:rsidRPr="0001688F" w:rsidRDefault="007A592F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88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09A6" w:rsidRDefault="007A592F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88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A592F" w:rsidRPr="0001688F" w:rsidRDefault="006C384E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88F">
        <w:rPr>
          <w:rFonts w:ascii="Times New Roman" w:hAnsi="Times New Roman"/>
          <w:sz w:val="24"/>
          <w:szCs w:val="24"/>
        </w:rPr>
        <w:t>Курманкеевский</w:t>
      </w:r>
      <w:r w:rsidR="007A592F" w:rsidRPr="0001688F">
        <w:rPr>
          <w:rFonts w:ascii="Times New Roman" w:hAnsi="Times New Roman"/>
          <w:sz w:val="24"/>
          <w:szCs w:val="24"/>
        </w:rPr>
        <w:t xml:space="preserve"> сельсовет </w:t>
      </w:r>
    </w:p>
    <w:p w:rsidR="007A592F" w:rsidRPr="0001688F" w:rsidRDefault="007A592F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88F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7A592F" w:rsidRPr="0001688F" w:rsidRDefault="007A592F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88F">
        <w:rPr>
          <w:rFonts w:ascii="Times New Roman" w:hAnsi="Times New Roman"/>
          <w:sz w:val="24"/>
          <w:szCs w:val="24"/>
        </w:rPr>
        <w:t xml:space="preserve">Давлекановский  район </w:t>
      </w:r>
    </w:p>
    <w:p w:rsidR="007A592F" w:rsidRDefault="007A592F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88F">
        <w:rPr>
          <w:rFonts w:ascii="Times New Roman" w:hAnsi="Times New Roman"/>
          <w:sz w:val="24"/>
          <w:szCs w:val="24"/>
        </w:rPr>
        <w:t xml:space="preserve"> Республики Башкортостан </w:t>
      </w:r>
    </w:p>
    <w:p w:rsidR="00F009A6" w:rsidRPr="0001688F" w:rsidRDefault="00F009A6" w:rsidP="007A592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6 мая 2020 г. №24</w:t>
      </w:r>
    </w:p>
    <w:p w:rsidR="007A592F" w:rsidRPr="0001688F" w:rsidRDefault="007A592F" w:rsidP="007A592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C809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Порядок</w:t>
      </w:r>
    </w:p>
    <w:p w:rsidR="00C809F5" w:rsidRPr="0001688F" w:rsidRDefault="007A592F" w:rsidP="00C809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сельского поселения </w:t>
      </w:r>
    </w:p>
    <w:p w:rsidR="00C809F5" w:rsidRPr="0001688F" w:rsidRDefault="006C384E" w:rsidP="00C809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="007A592F"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</w:t>
      </w:r>
    </w:p>
    <w:p w:rsidR="00C809F5" w:rsidRPr="0001688F" w:rsidRDefault="007A592F" w:rsidP="00C809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Республики Башкортостан и оценки налоговых расходов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</w:t>
      </w:r>
    </w:p>
    <w:p w:rsidR="007A592F" w:rsidRPr="0001688F" w:rsidRDefault="007A592F" w:rsidP="00C809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7A592F" w:rsidRPr="0001688F" w:rsidRDefault="007A592F" w:rsidP="007A592F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7A592F" w:rsidRPr="0001688F" w:rsidRDefault="007A592F" w:rsidP="007A592F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>I. Общие положения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перечня налоговых расходов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и методику оценки налоговых расходов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(далее - налоговые расходы).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налоговые расходы - выпадающие доходы бюджета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обусловленные налоговыми льготами, освобождениями и иными преференциями по налогам, сборам и таможенным платежам, предусмотренными в качестве мер  поддержки в соответствии с целями муниципальных программ сельского поселения 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и (или) целями социально-экономической политики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Давлекановский  район Республики Башкортостан, не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к муниципальным программам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</w:t>
      </w:r>
      <w:r w:rsidRPr="00016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муниципальной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</w:t>
      </w:r>
      <w:r w:rsidRPr="00016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Pr="000168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</w:t>
      </w:r>
      <w:r w:rsidRPr="00016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(ее структурных элементов) и (или) целей социально-экономического развития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района Давлекановский  район Республики Башкортостан</w:t>
      </w:r>
      <w:r w:rsidRPr="00016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gramStart"/>
      <w:r w:rsidRPr="0001688F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относящихся</w:t>
      </w:r>
      <w:proofErr w:type="gramEnd"/>
      <w:r w:rsidRPr="00016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муниципальным программам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соответствующие целям социально-экономической политики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реализуемым в рамках нескольких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(муниципальных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и непрограммных направлений деятельности);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 и таможенных платежей, задекларированных для уплаты получателями налоговых расходов, в бюджет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Башкортостан;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 и таможенных платежей, задекларированных для уплаты получателями налоговых расходов, в бюджет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</w:t>
      </w:r>
      <w:r w:rsidRPr="0001688F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Башкортостан, а также иные характеристики, предусмотренные разделом III приложения к настоящему Порядку;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- свод (перечень) налоговых расходов в разрезе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их структурных элементов, а также направлений деятельности, не входящих в муниципальные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кураторов налоговых расходов, либо в разрезе кураторов налоговых расходов (в отношении нераспределенных налоговых расходов), содержащий указания на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3. В целях оценки налоговых расходов администрация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а) формирует перечень налоговых расходов;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б) ведет реестр налоговых расходов;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в)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г) осуществляет обобщение результатов оценки эффективности налоговых расходов, проводимой кураторами налоговых расходов.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4. В целях оценки налоговых расходов главные администраторы доходов местного бюджета формируют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5. В целях оценки налоговых расходов кураторы налоговых расходов: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а) формируют паспорта налоговых расходов, содержащие информацию по перечню согласно приложению к настоящему Порядку;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б) осуществляют оценку эффективности каждого курируемого налогового расхода.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II. Формирование перечня налоговых расходов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формируется в целях оценки налоговых расходов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по форме согласно приложению № 1 к настоящему Порядку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на очередной финансовый год и плановый период формируется администрацией сельского поселения 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ежегодно в срок до 25 марта текущего финансового года и направляется на согласование ответственным исполнителям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а также иным органам, организациям, полномочия учредите  в отношении которых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исполняет администрация сельского поселения, которые предлагается закрепить в качестве кураторов налоговых расходов.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Указанные в пункте 7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их структурным элементам, направлениям деятельности, не входящим в муниципальные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кураторам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налоговых расходов, и в случае несогласия с указанным распределением направляют в сельское поселение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предложения по уточнению такого распределения (с указанием муниципальной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ее структурного элемента, направления деятельности, не входящего в муниципальные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>, куратора расходов, к которым необходимо отнести каждый налоговый расход, в отношении которого имеются замечания).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сельское поселение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в течение срока, указанного в абзаце первом настоящего пункта, проект перечня считается согласованным.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 перечня не 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структуру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и (или) изменения полномочий органов, организаций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, </w:t>
      </w:r>
      <w:r w:rsidRPr="0001688F">
        <w:rPr>
          <w:rFonts w:ascii="Times New Roman" w:hAnsi="Times New Roman" w:cs="Times New Roman"/>
          <w:sz w:val="28"/>
          <w:szCs w:val="28"/>
        </w:rPr>
        <w:lastRenderedPageBreak/>
        <w:t>указанных в пункте 6 настоящего Порядка, затрагивающих соответствующие позиции проекта перечня налоговых расходов.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сельское поселение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Разногласия, не урегулированные по результатам совещаний, указанных в абзаце шестом настоящего пункта, в срок до 25 апреля текущего финансового года рассматриваются главой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Башкортостан.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структуру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соответствующих изменений направляют в сельское поселение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соответствующую информацию для уточнения указанного перечня.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формируется в срок до              1 октября текущего финансового года (в случае уточнения структуры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в рамках формирования проекта решения Совета депутатов поселения о бюджете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на очередной финансовый год и плановый период) и до 15 декабря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текущего финансового года (в случае уточнения структуры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в рамках рассмотрения и утверждения проекта решения Совета депутатов поселения о бюджете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на очередной финансовый год и плановый период).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III. Оценка эффективности налоговых расходов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11. Методики оценки эффективности налоговых расходов формируются кураторами соответствующих налоговых расходов и утверждаются ими по согласованию с администрацией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12. В целях оценки эффективности налоговых расходов: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</w:t>
      </w:r>
      <w:r w:rsidRPr="0001688F">
        <w:rPr>
          <w:rFonts w:ascii="Times New Roman" w:hAnsi="Times New Roman" w:cs="Times New Roman"/>
          <w:sz w:val="28"/>
          <w:szCs w:val="28"/>
        </w:rPr>
        <w:lastRenderedPageBreak/>
        <w:t>год, очередной финансовый год и плановый период, а также данные о значениях фискальных характеристик за год, предшествующий отчетному финансовому году согласно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Приложению №2;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на основе сформированного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сельское поселение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Башкортостан.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13.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а) оценку целесообразности предоставления налоговых расходов;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14. Критериями целесообразности налоговых расходов являются: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целям и задачам муниципальных программ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Башкортостан, структурных элементов муниципальных программ или целям социально-экономической политики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(в отношении непрограммных налоговых расходов);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(ее структурных элементов) либо достижение целей муниципальной политики, не отнесенных к действующим муниципальным программам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и включает оценку бюджетной эффективности налогового расхода.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16. В качестве критерия результативности определяется не менее одного показателя (индикатора):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муниципальной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или ее структурных элементов (цели муниципальной политики, не отнесенной к муниципальным программам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Башкортостан), на значение которого оказывает влияние рассматриваемый налоговый расход;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lastRenderedPageBreak/>
        <w:t xml:space="preserve">иного показателя (индикатора), непосредственным образом связанного с целями муниципальной программы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или ее структурных элементов (целями муниципальной политики, не отнесенными к муниципальным программам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Башкортостан).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17.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18. В целях проведения оценки бюджетной эффективности налоговых расходов осуществляется: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Башкортостан;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предоставление гарантий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б)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C69459" wp14:editId="7935E9AE">
            <wp:simplePos x="0" y="0"/>
            <wp:positionH relativeFrom="column">
              <wp:posOffset>2138680</wp:posOffset>
            </wp:positionH>
            <wp:positionV relativeFrom="paragraph">
              <wp:posOffset>3175</wp:posOffset>
            </wp:positionV>
            <wp:extent cx="2019935" cy="4533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где: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88F">
        <w:rPr>
          <w:rFonts w:ascii="Times New Roman" w:hAnsi="Times New Roman" w:cs="Times New Roman"/>
          <w:sz w:val="28"/>
          <w:szCs w:val="28"/>
        </w:rPr>
        <w:t>m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1688F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88F">
        <w:rPr>
          <w:rFonts w:ascii="Times New Roman" w:hAnsi="Times New Roman" w:cs="Times New Roman"/>
          <w:sz w:val="28"/>
          <w:szCs w:val="28"/>
        </w:rPr>
        <w:t>N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01688F">
        <w:rPr>
          <w:rFonts w:ascii="Times New Roman" w:hAnsi="Times New Roman" w:cs="Times New Roman"/>
          <w:sz w:val="28"/>
          <w:szCs w:val="28"/>
        </w:rPr>
        <w:t xml:space="preserve"> - объем налогов, сборов, задекларированных получателями налоговых расходов в бюджет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j-м плательщиком в i-м году.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сборов, подлежащих уплате в бюджет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Башкортостан, оцениваются (прогнозируются) по данным кураторов налоговых расходов и администрации;</w:t>
      </w:r>
      <w:proofErr w:type="gramEnd"/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B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01688F">
        <w:rPr>
          <w:rFonts w:ascii="Times New Roman" w:hAnsi="Times New Roman" w:cs="Times New Roman"/>
          <w:sz w:val="28"/>
          <w:szCs w:val="28"/>
        </w:rPr>
        <w:t xml:space="preserve"> - базовый объем налогов, сборов, задекларированных для уплаты в бюджет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j-м плательщиком в базовом году.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Базовый объем налогов, сборов, задекларированных для уплаты в бюджет муниципального образования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j-м плательщиком в базовом году (B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01688F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B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01688F">
        <w:rPr>
          <w:rFonts w:ascii="Times New Roman" w:hAnsi="Times New Roman" w:cs="Times New Roman"/>
          <w:sz w:val="28"/>
          <w:szCs w:val="28"/>
        </w:rPr>
        <w:t xml:space="preserve"> = N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01688F">
        <w:rPr>
          <w:rFonts w:ascii="Times New Roman" w:hAnsi="Times New Roman" w:cs="Times New Roman"/>
          <w:sz w:val="28"/>
          <w:szCs w:val="28"/>
        </w:rPr>
        <w:t xml:space="preserve"> + L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01688F">
        <w:rPr>
          <w:rFonts w:ascii="Times New Roman" w:hAnsi="Times New Roman" w:cs="Times New Roman"/>
          <w:sz w:val="28"/>
          <w:szCs w:val="28"/>
        </w:rPr>
        <w:t>,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где: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N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01688F">
        <w:rPr>
          <w:rFonts w:ascii="Times New Roman" w:hAnsi="Times New Roman" w:cs="Times New Roman"/>
          <w:sz w:val="28"/>
          <w:szCs w:val="28"/>
        </w:rPr>
        <w:t xml:space="preserve"> - объем налогов, сборов, задекларированных для уплаты в бюджет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j-м плательщиком в базовом году;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L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01688F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0168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1688F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88F">
        <w:rPr>
          <w:rFonts w:ascii="Times New Roman" w:hAnsi="Times New Roman" w:cs="Times New Roman"/>
          <w:sz w:val="28"/>
          <w:szCs w:val="28"/>
        </w:rPr>
        <w:t>g</w:t>
      </w:r>
      <w:r w:rsidRPr="000168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1688F">
        <w:rPr>
          <w:rFonts w:ascii="Times New Roman" w:hAnsi="Times New Roman" w:cs="Times New Roman"/>
          <w:sz w:val="28"/>
          <w:szCs w:val="28"/>
        </w:rPr>
        <w:t xml:space="preserve"> - номинальный темп </w:t>
      </w:r>
      <w:proofErr w:type="gramStart"/>
      <w:r w:rsidRPr="0001688F">
        <w:rPr>
          <w:rFonts w:ascii="Times New Roman" w:hAnsi="Times New Roman" w:cs="Times New Roman"/>
          <w:sz w:val="28"/>
          <w:szCs w:val="28"/>
        </w:rPr>
        <w:t>прироста доходов бюджета сельского поселения</w:t>
      </w:r>
      <w:proofErr w:type="gramEnd"/>
      <w:r w:rsidRPr="0001688F">
        <w:rPr>
          <w:rFonts w:ascii="Times New Roman" w:hAnsi="Times New Roman" w:cs="Times New Roman"/>
          <w:sz w:val="28"/>
          <w:szCs w:val="28"/>
        </w:rPr>
        <w:t xml:space="preserve">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 район Республики Башкортостан в i-м году по отношению к базовому году.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19. По итогам оценки результативности формируется заключение: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A592F" w:rsidRPr="0001688F" w:rsidRDefault="007A592F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20. По итогам оценки эффективности налогового расхода муниципального образования куратор налогового расхода формулирует выводы о степени их эффективности и рекомендации о целесообразности их дальнейшего осуществления.</w:t>
      </w:r>
    </w:p>
    <w:p w:rsidR="00321E25" w:rsidRPr="0001688F" w:rsidRDefault="00321E25" w:rsidP="00C809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8E" w:rsidRPr="0001688F" w:rsidRDefault="00E8498E" w:rsidP="007A59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98E" w:rsidRPr="0001688F" w:rsidSect="0062067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E2D62" w:rsidRPr="0001688F" w:rsidRDefault="000E2D62" w:rsidP="000E2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96E59" w:rsidRPr="0001688F" w:rsidRDefault="00B96E59" w:rsidP="00B96E5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>к Порядку формирования перечня</w:t>
      </w:r>
    </w:p>
    <w:p w:rsidR="00B96E59" w:rsidRPr="0001688F" w:rsidRDefault="00B96E59" w:rsidP="00B96E5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налоговых расходов сельского </w:t>
      </w:r>
    </w:p>
    <w:p w:rsidR="004C1FC1" w:rsidRPr="0001688F" w:rsidRDefault="00B96E59" w:rsidP="00B96E5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C384E" w:rsidRPr="0001688F">
        <w:rPr>
          <w:rFonts w:ascii="Times New Roman" w:hAnsi="Times New Roman" w:cs="Times New Roman"/>
          <w:sz w:val="24"/>
          <w:szCs w:val="24"/>
        </w:rPr>
        <w:t>Курманкеевский</w:t>
      </w:r>
      <w:r w:rsidRPr="0001688F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4C1FC1" w:rsidRPr="0001688F" w:rsidRDefault="00B96E59" w:rsidP="004C1FC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96E59" w:rsidRPr="0001688F" w:rsidRDefault="00B96E59" w:rsidP="004C1FC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Давлекановский  район </w:t>
      </w:r>
    </w:p>
    <w:p w:rsidR="00B96E59" w:rsidRPr="0001688F" w:rsidRDefault="00B96E59" w:rsidP="00B96E5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Республики Башкортостан и </w:t>
      </w:r>
    </w:p>
    <w:p w:rsidR="00B96E59" w:rsidRPr="0001688F" w:rsidRDefault="00B96E59" w:rsidP="00B96E5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оценки налоговых расходов </w:t>
      </w:r>
    </w:p>
    <w:p w:rsidR="00B96E59" w:rsidRPr="0001688F" w:rsidRDefault="00B96E59" w:rsidP="00B96E5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C384E" w:rsidRPr="0001688F">
        <w:rPr>
          <w:rFonts w:ascii="Times New Roman" w:hAnsi="Times New Roman" w:cs="Times New Roman"/>
          <w:sz w:val="24"/>
          <w:szCs w:val="24"/>
        </w:rPr>
        <w:t>Курманкеевский</w:t>
      </w:r>
      <w:r w:rsidRPr="0001688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96E59" w:rsidRPr="0001688F" w:rsidRDefault="00B96E59" w:rsidP="00B96E5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 муниципального района Давлекановский</w:t>
      </w:r>
    </w:p>
    <w:p w:rsidR="000E2D62" w:rsidRDefault="00B96E59" w:rsidP="00B96E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498E" w:rsidRPr="00016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168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498E" w:rsidRPr="00016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1688F">
        <w:rPr>
          <w:rFonts w:ascii="Times New Roman" w:hAnsi="Times New Roman" w:cs="Times New Roman"/>
          <w:sz w:val="24"/>
          <w:szCs w:val="24"/>
        </w:rPr>
        <w:t xml:space="preserve">          район Республики Башкортостан</w:t>
      </w:r>
    </w:p>
    <w:p w:rsidR="00F009A6" w:rsidRPr="0001688F" w:rsidRDefault="00F009A6" w:rsidP="00F009A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6 мая 2020 г. №24</w:t>
      </w:r>
    </w:p>
    <w:p w:rsidR="00B96E59" w:rsidRPr="0001688F" w:rsidRDefault="00E8498E" w:rsidP="00B96E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8498E" w:rsidRPr="0001688F" w:rsidRDefault="00E8498E" w:rsidP="000E2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D62" w:rsidRPr="0001688F" w:rsidRDefault="000E2D62" w:rsidP="000E2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Перечень</w:t>
      </w:r>
    </w:p>
    <w:p w:rsidR="000E2D62" w:rsidRPr="0001688F" w:rsidRDefault="000E2D62" w:rsidP="000E2D62">
      <w:pPr>
        <w:widowControl w:val="0"/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налоговых расходов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tbl>
      <w:tblPr>
        <w:tblW w:w="158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303"/>
        <w:gridCol w:w="1303"/>
        <w:gridCol w:w="1385"/>
        <w:gridCol w:w="1539"/>
        <w:gridCol w:w="1522"/>
        <w:gridCol w:w="1402"/>
        <w:gridCol w:w="1690"/>
        <w:gridCol w:w="1527"/>
        <w:gridCol w:w="1956"/>
        <w:gridCol w:w="1787"/>
      </w:tblGrid>
      <w:tr w:rsidR="0001688F" w:rsidRPr="0001688F" w:rsidTr="007A592F">
        <w:trPr>
          <w:cantSplit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N№ п/п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Наименование налога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0E2D62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Категории плательщиков налогов, для которых установлены налоговые расходы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Дата начала действия</w:t>
            </w:r>
          </w:p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налоговых расходов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налоговых расходов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муниципальных программ сельского поселения, структурных элементов  муниципальных программ сельского поселения, в </w:t>
            </w:r>
            <w:proofErr w:type="gramStart"/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proofErr w:type="gramEnd"/>
            <w:r w:rsidRPr="0001688F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которых предоставляются налоговые расходы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Наименование целей социально-экономической политики сельского поселения, не относящихся к муниципальным программам сельского поселения, в целях реализации которых предоставляются налоговые расходы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Показатели (индикаторы) достижения целей муниципальных программ сельского поселения, структурных элементов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расходов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Куратор налогового расхода</w:t>
            </w:r>
          </w:p>
        </w:tc>
      </w:tr>
      <w:tr w:rsidR="0001688F" w:rsidRPr="0001688F" w:rsidTr="007A592F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0E2D62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Наименование дата, номер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Статья, часть, пункт, подпункт, абзац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snapToGrid w:val="0"/>
            </w:pPr>
          </w:p>
        </w:tc>
      </w:tr>
      <w:tr w:rsidR="0001688F" w:rsidRPr="0001688F" w:rsidTr="007A592F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ind w:firstLine="0"/>
              <w:jc w:val="right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jc w:val="center"/>
            </w:pPr>
            <w:r w:rsidRPr="000168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1688F" w:rsidRPr="0001688F" w:rsidTr="007A592F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2" w:rsidRPr="0001688F" w:rsidRDefault="000E2D62" w:rsidP="002A2206">
            <w:pPr>
              <w:pStyle w:val="ConsPlusNormal"/>
              <w:snapToGrid w:val="0"/>
            </w:pPr>
          </w:p>
        </w:tc>
      </w:tr>
    </w:tbl>
    <w:p w:rsidR="000E2D62" w:rsidRPr="0001688F" w:rsidRDefault="000E2D62" w:rsidP="000E2D62">
      <w:pPr>
        <w:widowControl w:val="0"/>
        <w:autoSpaceDE w:val="0"/>
        <w:ind w:firstLine="539"/>
        <w:jc w:val="both"/>
        <w:rPr>
          <w:sz w:val="26"/>
          <w:szCs w:val="26"/>
        </w:rPr>
      </w:pPr>
    </w:p>
    <w:p w:rsidR="00E8498E" w:rsidRPr="0001688F" w:rsidRDefault="00E8498E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8498E" w:rsidRPr="0001688F" w:rsidSect="00E8498E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321E25" w:rsidRPr="0001688F" w:rsidRDefault="00F54C0B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E2D62" w:rsidRPr="0001688F">
        <w:rPr>
          <w:rFonts w:ascii="Times New Roman" w:hAnsi="Times New Roman" w:cs="Times New Roman"/>
          <w:sz w:val="24"/>
          <w:szCs w:val="24"/>
        </w:rPr>
        <w:t xml:space="preserve"> №2 </w:t>
      </w:r>
    </w:p>
    <w:p w:rsidR="00321E25" w:rsidRPr="0001688F" w:rsidRDefault="00321E25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>к Порядку формирования перечня</w:t>
      </w:r>
    </w:p>
    <w:p w:rsidR="00321E25" w:rsidRPr="0001688F" w:rsidRDefault="00321E25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налоговых расходов сельского </w:t>
      </w:r>
    </w:p>
    <w:p w:rsidR="004C1FC1" w:rsidRPr="0001688F" w:rsidRDefault="00321E25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C384E" w:rsidRPr="0001688F">
        <w:rPr>
          <w:rFonts w:ascii="Times New Roman" w:hAnsi="Times New Roman" w:cs="Times New Roman"/>
          <w:sz w:val="24"/>
          <w:szCs w:val="24"/>
        </w:rPr>
        <w:t>Курманкеевский</w:t>
      </w:r>
      <w:r w:rsidR="004435F4" w:rsidRPr="0001688F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4C1FC1" w:rsidRPr="0001688F" w:rsidRDefault="004435F4" w:rsidP="004C1FC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>муниципального</w:t>
      </w:r>
      <w:r w:rsidR="004C1FC1" w:rsidRPr="0001688F">
        <w:rPr>
          <w:rFonts w:ascii="Times New Roman" w:hAnsi="Times New Roman" w:cs="Times New Roman"/>
          <w:sz w:val="24"/>
          <w:szCs w:val="24"/>
        </w:rPr>
        <w:t xml:space="preserve"> </w:t>
      </w:r>
      <w:r w:rsidRPr="0001688F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4435F4" w:rsidRPr="0001688F" w:rsidRDefault="004435F4" w:rsidP="004C1FC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Давлекановский  район </w:t>
      </w:r>
    </w:p>
    <w:p w:rsidR="004435F4" w:rsidRPr="0001688F" w:rsidRDefault="004435F4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  <w:r w:rsidR="00321E25" w:rsidRPr="0001688F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321E25" w:rsidRPr="0001688F" w:rsidRDefault="00321E25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оценки налоговых расходов </w:t>
      </w:r>
    </w:p>
    <w:p w:rsidR="004435F4" w:rsidRPr="0001688F" w:rsidRDefault="00321E25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C384E" w:rsidRPr="0001688F">
        <w:rPr>
          <w:rFonts w:ascii="Times New Roman" w:hAnsi="Times New Roman" w:cs="Times New Roman"/>
          <w:sz w:val="24"/>
          <w:szCs w:val="24"/>
        </w:rPr>
        <w:t>Курманкеевский</w:t>
      </w:r>
      <w:r w:rsidR="004435F4" w:rsidRPr="0001688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435F4" w:rsidRPr="0001688F" w:rsidRDefault="004435F4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 муниципального района Давлекановский</w:t>
      </w:r>
    </w:p>
    <w:p w:rsidR="00321E25" w:rsidRDefault="004435F4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88F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</w:t>
      </w:r>
    </w:p>
    <w:p w:rsidR="00F009A6" w:rsidRPr="0001688F" w:rsidRDefault="00F009A6" w:rsidP="004435F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6 мая 2020 г. №24</w:t>
      </w:r>
      <w:bookmarkStart w:id="0" w:name="_GoBack"/>
      <w:bookmarkEnd w:id="0"/>
    </w:p>
    <w:p w:rsidR="00321E25" w:rsidRPr="0001688F" w:rsidRDefault="00321E25" w:rsidP="00321E2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21E25" w:rsidRPr="0001688F" w:rsidRDefault="00321E25" w:rsidP="00321E2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>Перечень</w:t>
      </w:r>
    </w:p>
    <w:p w:rsidR="00321E25" w:rsidRPr="0001688F" w:rsidRDefault="00321E25" w:rsidP="00321E2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t xml:space="preserve">информации, включаемой в паспорт налогового расхода сельского поселения </w:t>
      </w:r>
      <w:r w:rsidR="006C384E" w:rsidRPr="0001688F">
        <w:rPr>
          <w:rFonts w:ascii="Times New Roman" w:hAnsi="Times New Roman" w:cs="Times New Roman"/>
          <w:sz w:val="28"/>
          <w:szCs w:val="28"/>
        </w:rPr>
        <w:t>Курманкеевский</w:t>
      </w:r>
      <w:r w:rsidR="004435F4" w:rsidRPr="000168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5543"/>
        <w:gridCol w:w="4028"/>
      </w:tblGrid>
      <w:tr w:rsidR="0001688F" w:rsidRPr="0001688F" w:rsidTr="0075404F">
        <w:tc>
          <w:tcPr>
            <w:tcW w:w="0" w:type="auto"/>
            <w:gridSpan w:val="2"/>
            <w:hideMark/>
          </w:tcPr>
          <w:p w:rsidR="00321E25" w:rsidRPr="0001688F" w:rsidRDefault="00321E25" w:rsidP="007540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данных</w:t>
            </w:r>
          </w:p>
        </w:tc>
      </w:tr>
      <w:tr w:rsidR="0001688F" w:rsidRPr="0001688F" w:rsidTr="0075404F">
        <w:tc>
          <w:tcPr>
            <w:tcW w:w="0" w:type="auto"/>
            <w:gridSpan w:val="3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I. Нормативные характеристики налогового расхода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район Республики Башкортостан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(далее - налоговый расход)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сбора, таможенного платежа, по которому предусматривается налоговый расход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rPr>
          <w:trHeight w:val="311"/>
        </w:trPr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 (далее - куратор)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налогового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gridSpan w:val="3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Целевые характеристики налогового расхода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район Республики Башкортостан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  <w:proofErr w:type="gramEnd"/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 район Республики Башкортостан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  <w:proofErr w:type="gramEnd"/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 район Республики Башкортостан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и ее структурных элементов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район Республики Башкортостан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и ее структурных элементов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 район Республики Башкортостан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куратора</w:t>
            </w:r>
          </w:p>
        </w:tc>
      </w:tr>
      <w:tr w:rsidR="0001688F" w:rsidRPr="0001688F" w:rsidTr="0075404F">
        <w:tc>
          <w:tcPr>
            <w:tcW w:w="0" w:type="auto"/>
            <w:gridSpan w:val="3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Фискальные характеристики налогового расхода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321E25" w:rsidRPr="0001688F" w:rsidRDefault="00321E25" w:rsidP="0044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 район Республики Башкортостан </w:t>
            </w:r>
            <w:hyperlink r:id="rId6" w:anchor="2" w:history="1">
              <w:r w:rsidRPr="0001688F">
                <w:rPr>
                  <w:rFonts w:ascii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*(2)</w:t>
              </w:r>
            </w:hyperlink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район Республики Башкортостан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hyperlink r:id="rId7" w:anchor="3" w:history="1">
              <w:r w:rsidRPr="0001688F">
                <w:rPr>
                  <w:rFonts w:ascii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плательщиков налога, сбора и таможенного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hideMark/>
          </w:tcPr>
          <w:p w:rsidR="00321E25" w:rsidRPr="0001688F" w:rsidRDefault="00321E25" w:rsidP="0004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сборов и платежа, задекларированных для уплаты получателями налоговых расходов, в бюджет </w:t>
            </w:r>
            <w:r w:rsidRPr="000168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  <w:r w:rsidR="006C384E" w:rsidRPr="0001688F">
              <w:rPr>
                <w:rFonts w:ascii="Times New Roman" w:hAnsi="Times New Roman" w:cs="Times New Roman"/>
                <w:sz w:val="28"/>
                <w:szCs w:val="28"/>
              </w:rPr>
              <w:t>Курманкеевский</w:t>
            </w:r>
            <w:r w:rsidR="004435F4"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Давлекановский  район Республики Башкортостан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по видам налогов, сборов и таможенного платежа за шесть лет, предшествующих отчетному финансовому году (тыс. рублей)2</w:t>
            </w:r>
            <w:proofErr w:type="gramEnd"/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01688F" w:rsidRPr="0001688F" w:rsidTr="0075404F"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сборов и таможенного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hideMark/>
          </w:tcPr>
          <w:p w:rsidR="00321E25" w:rsidRPr="0001688F" w:rsidRDefault="00321E25" w:rsidP="0075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главного </w:t>
            </w:r>
            <w:r w:rsidRPr="0001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 доходов</w:t>
            </w:r>
          </w:p>
        </w:tc>
      </w:tr>
    </w:tbl>
    <w:p w:rsidR="00321E25" w:rsidRPr="0001688F" w:rsidRDefault="00321E25" w:rsidP="00321E25">
      <w:pPr>
        <w:rPr>
          <w:rFonts w:ascii="Times New Roman" w:hAnsi="Times New Roman" w:cs="Times New Roman"/>
          <w:sz w:val="28"/>
          <w:szCs w:val="28"/>
        </w:rPr>
      </w:pPr>
      <w:r w:rsidRPr="0001688F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</w:t>
      </w:r>
    </w:p>
    <w:p w:rsidR="007A592F" w:rsidRPr="0001688F" w:rsidRDefault="007A592F" w:rsidP="007A592F">
      <w:pPr>
        <w:spacing w:after="255"/>
        <w:jc w:val="both"/>
        <w:rPr>
          <w:rFonts w:ascii="Times New Roman" w:hAnsi="Times New Roman"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 xml:space="preserve">*(1) расчет по приведенной формуле осуществляется в отношении налоговых расходов, перечень которых определяется </w:t>
      </w:r>
      <w:r w:rsidRPr="0001688F">
        <w:rPr>
          <w:rFonts w:ascii="Times New Roman" w:hAnsi="Times New Roman"/>
          <w:kern w:val="2"/>
          <w:sz w:val="28"/>
          <w:szCs w:val="28"/>
        </w:rPr>
        <w:t xml:space="preserve">сельским поселением </w:t>
      </w:r>
      <w:r w:rsidR="006C384E" w:rsidRPr="0001688F">
        <w:rPr>
          <w:rFonts w:ascii="Times New Roman" w:hAnsi="Times New Roman"/>
          <w:sz w:val="28"/>
          <w:szCs w:val="28"/>
        </w:rPr>
        <w:t>Курманкеевский</w:t>
      </w:r>
      <w:r w:rsidRPr="0001688F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Башкортостан.</w:t>
      </w:r>
    </w:p>
    <w:p w:rsidR="007A592F" w:rsidRPr="0001688F" w:rsidRDefault="007A592F" w:rsidP="007A592F">
      <w:pPr>
        <w:spacing w:after="2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88F">
        <w:rPr>
          <w:rFonts w:ascii="Times New Roman" w:hAnsi="Times New Roman"/>
          <w:sz w:val="28"/>
          <w:szCs w:val="28"/>
        </w:rPr>
        <w:t xml:space="preserve">*(2) В случаях и порядке, предусмотренных пунктом 11 Порядка формирования перечня налоговых расходов </w:t>
      </w:r>
      <w:r w:rsidRPr="0001688F"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 w:rsidR="006C384E" w:rsidRPr="0001688F">
        <w:rPr>
          <w:rFonts w:ascii="Times New Roman" w:hAnsi="Times New Roman"/>
          <w:sz w:val="28"/>
          <w:szCs w:val="28"/>
        </w:rPr>
        <w:t>Курманкеевский</w:t>
      </w:r>
      <w:r w:rsidRPr="0001688F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и оценки налоговых расходов </w:t>
      </w:r>
      <w:r w:rsidRPr="0001688F"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 w:rsidR="006C384E" w:rsidRPr="0001688F">
        <w:rPr>
          <w:rFonts w:ascii="Times New Roman" w:hAnsi="Times New Roman"/>
          <w:sz w:val="28"/>
          <w:szCs w:val="28"/>
        </w:rPr>
        <w:t>Курманкеевский</w:t>
      </w:r>
      <w:r w:rsidRPr="0001688F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Башкортостан.</w:t>
      </w:r>
      <w:proofErr w:type="gramEnd"/>
    </w:p>
    <w:p w:rsidR="007A592F" w:rsidRPr="0001688F" w:rsidRDefault="007A592F" w:rsidP="007A592F">
      <w:pPr>
        <w:spacing w:after="255"/>
        <w:jc w:val="both"/>
        <w:rPr>
          <w:rFonts w:ascii="Times New Roman" w:hAnsi="Times New Roman"/>
          <w:sz w:val="28"/>
          <w:szCs w:val="28"/>
        </w:rPr>
      </w:pPr>
      <w:r w:rsidRPr="0001688F">
        <w:rPr>
          <w:rFonts w:ascii="Times New Roman" w:hAnsi="Times New Roman"/>
          <w:sz w:val="28"/>
          <w:szCs w:val="28"/>
        </w:rPr>
        <w:t xml:space="preserve">*(3) Информация подлежит формированию и представлению в отношении налоговых расходов, перечень которых определяется </w:t>
      </w:r>
      <w:r w:rsidRPr="0001688F">
        <w:rPr>
          <w:rFonts w:ascii="Times New Roman" w:hAnsi="Times New Roman"/>
          <w:kern w:val="2"/>
          <w:sz w:val="28"/>
          <w:szCs w:val="28"/>
        </w:rPr>
        <w:t xml:space="preserve">сельским поселением </w:t>
      </w:r>
      <w:r w:rsidR="006C384E" w:rsidRPr="0001688F">
        <w:rPr>
          <w:rFonts w:ascii="Times New Roman" w:hAnsi="Times New Roman"/>
          <w:sz w:val="28"/>
          <w:szCs w:val="28"/>
        </w:rPr>
        <w:t>Курманкеевский</w:t>
      </w:r>
      <w:r w:rsidRPr="0001688F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Башкортостан.</w:t>
      </w:r>
    </w:p>
    <w:p w:rsidR="004041FD" w:rsidRPr="0001688F" w:rsidRDefault="004041FD">
      <w:pPr>
        <w:rPr>
          <w:rFonts w:ascii="Times New Roman" w:hAnsi="Times New Roman" w:cs="Times New Roman"/>
          <w:sz w:val="28"/>
          <w:szCs w:val="28"/>
        </w:rPr>
      </w:pPr>
    </w:p>
    <w:sectPr w:rsidR="004041FD" w:rsidRPr="0001688F" w:rsidSect="00E8498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25"/>
    <w:rsid w:val="0001688F"/>
    <w:rsid w:val="00041A1C"/>
    <w:rsid w:val="00067AFD"/>
    <w:rsid w:val="000E2D62"/>
    <w:rsid w:val="001433A4"/>
    <w:rsid w:val="00143DD9"/>
    <w:rsid w:val="002872A9"/>
    <w:rsid w:val="002D1B3E"/>
    <w:rsid w:val="00321E25"/>
    <w:rsid w:val="003D13CF"/>
    <w:rsid w:val="004041FD"/>
    <w:rsid w:val="004435F4"/>
    <w:rsid w:val="004C1FC1"/>
    <w:rsid w:val="004C567D"/>
    <w:rsid w:val="006C384E"/>
    <w:rsid w:val="0074080B"/>
    <w:rsid w:val="007A592F"/>
    <w:rsid w:val="008A2778"/>
    <w:rsid w:val="008A42B4"/>
    <w:rsid w:val="00A512A4"/>
    <w:rsid w:val="00AA45A4"/>
    <w:rsid w:val="00B96E59"/>
    <w:rsid w:val="00BB04F4"/>
    <w:rsid w:val="00C75DA4"/>
    <w:rsid w:val="00C809F5"/>
    <w:rsid w:val="00E8498E"/>
    <w:rsid w:val="00F009A6"/>
    <w:rsid w:val="00F21D36"/>
    <w:rsid w:val="00F54C0B"/>
    <w:rsid w:val="00F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2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321E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2D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rsid w:val="000E2D62"/>
    <w:rPr>
      <w:color w:val="000080"/>
      <w:u w:val="single"/>
    </w:rPr>
  </w:style>
  <w:style w:type="paragraph" w:styleId="a6">
    <w:name w:val="No Spacing"/>
    <w:uiPriority w:val="1"/>
    <w:qFormat/>
    <w:rsid w:val="00C809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2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321E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2D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rsid w:val="000E2D62"/>
    <w:rPr>
      <w:color w:val="000080"/>
      <w:u w:val="single"/>
    </w:rPr>
  </w:style>
  <w:style w:type="paragraph" w:styleId="a6">
    <w:name w:val="No Spacing"/>
    <w:uiPriority w:val="1"/>
    <w:qFormat/>
    <w:rsid w:val="00C80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5666296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6662964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ТФУ</Company>
  <LinksUpToDate>false</LinksUpToDate>
  <CharactersWithSpaces>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</dc:creator>
  <cp:lastModifiedBy>Курманкеевский</cp:lastModifiedBy>
  <cp:revision>2</cp:revision>
  <dcterms:created xsi:type="dcterms:W3CDTF">2020-05-12T10:06:00Z</dcterms:created>
  <dcterms:modified xsi:type="dcterms:W3CDTF">2020-05-12T10:06:00Z</dcterms:modified>
</cp:coreProperties>
</file>