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0" w:name="_GoBack"/>
      <w:r w:rsidRPr="009603A6">
        <w:rPr>
          <w:color w:val="000000"/>
          <w:sz w:val="28"/>
          <w:szCs w:val="28"/>
        </w:rPr>
        <w:t xml:space="preserve">Приговором Давлекановского районного суда </w:t>
      </w:r>
      <w:bookmarkEnd w:id="0"/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Давлекановскому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г.</w:t>
      </w:r>
      <w:r w:rsidR="00E34966" w:rsidRPr="00E34966">
        <w:rPr>
          <w:b/>
          <w:color w:val="000000"/>
          <w:sz w:val="28"/>
          <w:szCs w:val="28"/>
        </w:rPr>
        <w:t>Давлеканово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г.Давлеканово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назначено в виде лишения свободы </w:t>
      </w:r>
      <w:r w:rsidR="009545C0">
        <w:rPr>
          <w:color w:val="000000"/>
          <w:sz w:val="28"/>
          <w:szCs w:val="28"/>
        </w:rPr>
        <w:t xml:space="preserve">назначено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Давлекановского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>, являясь должностным лицом организации, находившейся на территории Давлекановского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216D4">
        <w:rPr>
          <w:color w:val="000000"/>
          <w:sz w:val="28"/>
          <w:szCs w:val="28"/>
        </w:rPr>
        <w:t xml:space="preserve">Приговором Давлекановского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56981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157CE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E551"/>
  <w15:docId w15:val="{CE8FE352-FBA5-4C61-B87D-52B8210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9BAF-5B22-4B75-90B7-4A022EB2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Кагарманова Регина Анатольевна</cp:lastModifiedBy>
  <cp:revision>2</cp:revision>
  <cp:lastPrinted>2023-12-24T09:08:00Z</cp:lastPrinted>
  <dcterms:created xsi:type="dcterms:W3CDTF">2023-12-26T09:49:00Z</dcterms:created>
  <dcterms:modified xsi:type="dcterms:W3CDTF">2023-12-26T09:49:00Z</dcterms:modified>
</cp:coreProperties>
</file>