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D9" w:rsidRDefault="007B6465" w:rsidP="007B64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3A" w:rsidRPr="007C3D97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6C8B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C8B">
        <w:rPr>
          <w:rFonts w:ascii="Times New Roman" w:eastAsia="Times New Roman" w:hAnsi="Times New Roman" w:cs="Times New Roman"/>
          <w:sz w:val="28"/>
          <w:szCs w:val="28"/>
          <w:lang w:eastAsia="ru-RU"/>
        </w:rPr>
        <w:t>56/1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131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131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55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21.09.2020 </w:t>
      </w:r>
      <w:r w:rsidR="00554626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626">
        <w:rPr>
          <w:rFonts w:ascii="Times New Roman" w:eastAsia="Times New Roman" w:hAnsi="Times New Roman" w:cs="Times New Roman"/>
          <w:sz w:val="28"/>
          <w:szCs w:val="28"/>
          <w:lang w:eastAsia="ru-RU"/>
        </w:rPr>
        <w:t>56/1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 Б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064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 К,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4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 договоре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Рассветовский</w:t>
      </w:r>
      <w:r w:rsidR="00CC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</w:t>
      </w:r>
      <w:r w:rsidR="00E74FC5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его принадлежностью к той или иной категории земель и разрешенным видом </w:t>
      </w:r>
      <w:r w:rsidR="000620B1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181A86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1 категории </w:t>
      </w:r>
      <w:r w:rsidR="000620B1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землеустроителем</w:t>
      </w:r>
      <w:r w:rsidR="00181A86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администрации сельского поселения </w:t>
      </w:r>
      <w:r w:rsidR="00CC52D6" w:rsidRPr="0013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181A86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  <w:r w:rsidR="00181A86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1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подготавливается на основании сведений, полученных в результате осмотра места нахождения земельного участка с учетом сведений Единого государственного реестра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</w:t>
      </w:r>
      <w:bookmarkEnd w:id="0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омента </w:t>
      </w: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 (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редакции.</w:t>
      </w:r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Рассветовский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</w:t>
      </w:r>
      <w:r w:rsidR="00CC5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Н.Н.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CC52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Рассветовский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26" w:rsidRDefault="0055462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26" w:rsidRDefault="007C3D97" w:rsidP="005546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55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C3D97" w:rsidRPr="007C3D97" w:rsidRDefault="00554626" w:rsidP="005546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Д.А. Карпов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554626">
        <w:rPr>
          <w:rFonts w:ascii="Times New Roman" w:eastAsia="MS Mincho" w:hAnsi="Times New Roman" w:cs="Times New Roman"/>
          <w:sz w:val="20"/>
          <w:szCs w:val="20"/>
          <w:lang w:eastAsia="ja-JP"/>
        </w:rPr>
        <w:t>Рассветовский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(арендатор, реквизиты правоустанавливающих и правоудостоверяющих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554626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Рассветовский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131101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гаражей в составе автокооперативов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гаражей вне автокооперативов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ДЭЗов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01" w:rsidRDefault="0013110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554626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Рассветовский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5546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(Sl/S),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Ксу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(дск)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термошкафа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</w:t>
            </w:r>
            <w:r w:rsidRPr="00496D96">
              <w:rPr>
                <w:rFonts w:ascii="Times New Roman" w:hAnsi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Из представленного анализа следует, что кадастровая стоимость земельных участков в среднем снизилась в 2-3 раза. 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554626" w:rsidRPr="00554626">
        <w:rPr>
          <w:rFonts w:ascii="Times New Roman" w:eastAsia="MS Mincho" w:hAnsi="Times New Roman" w:cs="Times New Roman"/>
          <w:sz w:val="24"/>
          <w:szCs w:val="24"/>
          <w:lang w:eastAsia="ja-JP"/>
        </w:rPr>
        <w:t>Рассветовский</w:t>
      </w:r>
      <w:r w:rsidR="00554626" w:rsidRPr="00F37443">
        <w:rPr>
          <w:rFonts w:ascii="Times New Roman" w:hAnsi="Times New Roman"/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соответствуют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открытым (карьеры, отвалы) и закрытым (шахты,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скважины) способами;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Автомобиле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lastRenderedPageBreak/>
        <w:t>При этом ставки по ВРИ связанные с торговлей в 2019 году были установлены в следующем размере: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>В предлагаемом проекте решения по указанным выше ВРИ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связи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6F" w:rsidRDefault="001E3E6F">
      <w:pPr>
        <w:spacing w:line="240" w:lineRule="auto"/>
      </w:pPr>
      <w:r>
        <w:separator/>
      </w:r>
    </w:p>
  </w:endnote>
  <w:endnote w:type="continuationSeparator" w:id="0">
    <w:p w:rsidR="001E3E6F" w:rsidRDefault="001E3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6F" w:rsidRDefault="001E3E6F">
      <w:pPr>
        <w:spacing w:after="0"/>
      </w:pPr>
      <w:r>
        <w:separator/>
      </w:r>
    </w:p>
  </w:footnote>
  <w:footnote w:type="continuationSeparator" w:id="0">
    <w:p w:rsidR="001E3E6F" w:rsidRDefault="001E3E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A"/>
    <w:rsid w:val="00026F39"/>
    <w:rsid w:val="000400C4"/>
    <w:rsid w:val="00060A1D"/>
    <w:rsid w:val="000620B1"/>
    <w:rsid w:val="00064C1E"/>
    <w:rsid w:val="00065395"/>
    <w:rsid w:val="000923A6"/>
    <w:rsid w:val="00096E07"/>
    <w:rsid w:val="000A64C9"/>
    <w:rsid w:val="000B2BC5"/>
    <w:rsid w:val="000B5FE5"/>
    <w:rsid w:val="00123A8E"/>
    <w:rsid w:val="001270DA"/>
    <w:rsid w:val="00127F17"/>
    <w:rsid w:val="00131101"/>
    <w:rsid w:val="001575DB"/>
    <w:rsid w:val="00181A86"/>
    <w:rsid w:val="001B057B"/>
    <w:rsid w:val="001D209A"/>
    <w:rsid w:val="001E3E6F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B5490"/>
    <w:rsid w:val="004B56DF"/>
    <w:rsid w:val="004C3513"/>
    <w:rsid w:val="004D25E0"/>
    <w:rsid w:val="004E523A"/>
    <w:rsid w:val="004E6488"/>
    <w:rsid w:val="004F1EB1"/>
    <w:rsid w:val="005023BB"/>
    <w:rsid w:val="005049DF"/>
    <w:rsid w:val="00523DCA"/>
    <w:rsid w:val="00542296"/>
    <w:rsid w:val="00554626"/>
    <w:rsid w:val="00562553"/>
    <w:rsid w:val="00572C2C"/>
    <w:rsid w:val="0059615C"/>
    <w:rsid w:val="005962C1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B3AA8"/>
    <w:rsid w:val="007B6465"/>
    <w:rsid w:val="007C3D97"/>
    <w:rsid w:val="007E3FEA"/>
    <w:rsid w:val="007E4718"/>
    <w:rsid w:val="007F0C1E"/>
    <w:rsid w:val="007F4321"/>
    <w:rsid w:val="0080161B"/>
    <w:rsid w:val="00817554"/>
    <w:rsid w:val="0082478D"/>
    <w:rsid w:val="00827349"/>
    <w:rsid w:val="00875E2C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A6C8B"/>
    <w:rsid w:val="00CC52D6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A5BD8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90A"/>
  <w15:docId w15:val="{4B5E3D2E-07D2-4122-9306-94392A3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BCB1-0F1E-442B-A7CD-65DB9432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8627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Админ</cp:lastModifiedBy>
  <cp:revision>3</cp:revision>
  <cp:lastPrinted>2022-06-27T07:30:00Z</cp:lastPrinted>
  <dcterms:created xsi:type="dcterms:W3CDTF">2024-02-09T13:05:00Z</dcterms:created>
  <dcterms:modified xsi:type="dcterms:W3CDTF">2024-02-09T13:05:00Z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