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9C" w:rsidRDefault="00B6089C" w:rsidP="00B6089C">
      <w:pPr>
        <w:spacing w:after="0" w:line="240" w:lineRule="auto"/>
        <w:jc w:val="center"/>
        <w:rPr>
          <w:rFonts w:ascii="Times New Roman" w:hAnsi="Times New Roman" w:cs="Times New Roman"/>
          <w:b/>
          <w:color w:val="000000" w:themeColor="text1"/>
          <w:sz w:val="28"/>
          <w:szCs w:val="28"/>
        </w:rPr>
      </w:pPr>
      <w:r w:rsidRPr="00B51729">
        <w:rPr>
          <w:rFonts w:ascii="Times New Roman" w:hAnsi="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AE2BFD" w:rsidRDefault="00AE2BFD" w:rsidP="00B6089C">
      <w:pPr>
        <w:spacing w:after="0" w:line="240" w:lineRule="auto"/>
        <w:jc w:val="center"/>
        <w:rPr>
          <w:rFonts w:ascii="Times New Roman" w:hAnsi="Times New Roman" w:cs="Times New Roman"/>
          <w:color w:val="000000" w:themeColor="text1"/>
          <w:sz w:val="28"/>
          <w:szCs w:val="28"/>
        </w:rPr>
      </w:pPr>
    </w:p>
    <w:p w:rsidR="003F4143" w:rsidRPr="00B6089C" w:rsidRDefault="003F4143" w:rsidP="00B6089C">
      <w:pPr>
        <w:spacing w:after="0" w:line="240" w:lineRule="auto"/>
        <w:jc w:val="center"/>
        <w:rPr>
          <w:rFonts w:ascii="Times New Roman" w:hAnsi="Times New Roman" w:cs="Times New Roman"/>
          <w:color w:val="000000" w:themeColor="text1"/>
          <w:sz w:val="28"/>
          <w:szCs w:val="28"/>
        </w:rPr>
      </w:pPr>
    </w:p>
    <w:p w:rsidR="00AE2BFD"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3F4143" w:rsidRPr="006A2308" w:rsidRDefault="003F4143"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мая 2022 года № 51</w:t>
      </w:r>
    </w:p>
    <w:p w:rsidR="00AE2BFD"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4143" w:rsidRPr="008A4E03" w:rsidRDefault="003F4143"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п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8A4E03" w:rsidP="008A4E03">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8A4E0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Поляковский сельсовет</w:t>
      </w:r>
    </w:p>
    <w:p w:rsidR="008A4E03" w:rsidRPr="006A2308" w:rsidRDefault="008A4E0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Е.Е. Гладышев</w:t>
      </w: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lastRenderedPageBreak/>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поселения Поляковский 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sidR="003F4143">
        <w:rPr>
          <w:rFonts w:ascii="Times New Roman" w:hAnsi="Times New Roman"/>
          <w:sz w:val="24"/>
          <w:szCs w:val="24"/>
        </w:rPr>
        <w:t xml:space="preserve">26 мая </w:t>
      </w:r>
      <w:r>
        <w:rPr>
          <w:rFonts w:ascii="Times New Roman" w:hAnsi="Times New Roman"/>
          <w:sz w:val="24"/>
          <w:szCs w:val="24"/>
        </w:rPr>
        <w:t xml:space="preserve"> </w:t>
      </w:r>
      <w:r w:rsidRPr="0070369A">
        <w:rPr>
          <w:rFonts w:ascii="Times New Roman" w:hAnsi="Times New Roman"/>
          <w:sz w:val="24"/>
          <w:szCs w:val="24"/>
        </w:rPr>
        <w:t>20</w:t>
      </w:r>
      <w:r w:rsidR="003F4143">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3F4143">
        <w:rPr>
          <w:rFonts w:ascii="Times New Roman" w:hAnsi="Times New Roman"/>
          <w:sz w:val="24"/>
          <w:szCs w:val="24"/>
        </w:rPr>
        <w:t>51</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с распоряжением высшего должностного лица субъекта Российской Федерации для размещения</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объектов</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социально-культурного</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lastRenderedPageBreak/>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1"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3F4143">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3"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4"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7"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w:t>
      </w:r>
      <w:r w:rsidR="00CE60EA" w:rsidRPr="00866B57">
        <w:rPr>
          <w:rFonts w:ascii="Times New Roman" w:eastAsia="Calibri" w:hAnsi="Times New Roman" w:cs="Times New Roman"/>
          <w:sz w:val="24"/>
          <w:szCs w:val="24"/>
        </w:rPr>
        <w:lastRenderedPageBreak/>
        <w:t>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2"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866B57">
        <w:rPr>
          <w:rFonts w:ascii="Times New Roman" w:eastAsia="BatangChe" w:hAnsi="Times New Roman" w:cs="Times New Roman"/>
          <w:sz w:val="24"/>
          <w:szCs w:val="24"/>
        </w:rPr>
        <w:lastRenderedPageBreak/>
        <w:t>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5"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8"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29"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0"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1"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2"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 xml:space="preserve">в соответствии с </w:t>
      </w:r>
      <w:hyperlink r:id="rId34"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5"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lastRenderedPageBreak/>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hyperlink r:id="rId37" w:history="1">
        <w:r w:rsidR="003F4143" w:rsidRPr="00D471BC">
          <w:rPr>
            <w:rStyle w:val="a6"/>
            <w:rFonts w:ascii="Times New Roman" w:hAnsi="Times New Roman" w:cs="Times New Roman"/>
            <w:sz w:val="24"/>
            <w:szCs w:val="24"/>
          </w:rPr>
          <w:t>http://sovet-</w:t>
        </w:r>
      </w:hyperlink>
      <w:r w:rsidR="003F4143">
        <w:rPr>
          <w:rFonts w:ascii="Times New Roman" w:hAnsi="Times New Roman" w:cs="Times New Roman"/>
          <w:sz w:val="24"/>
          <w:szCs w:val="24"/>
        </w:rPr>
        <w:t xml:space="preserve"> </w:t>
      </w:r>
      <w:r w:rsidR="00866B57" w:rsidRPr="00866B57">
        <w:rPr>
          <w:rFonts w:ascii="Times New Roman" w:hAnsi="Times New Roman" w:cs="Times New Roman"/>
          <w:sz w:val="24"/>
          <w:szCs w:val="24"/>
        </w:rPr>
        <w: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структурых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w:t>
      </w:r>
      <w:r w:rsidR="003F4143" w:rsidRPr="003F4143">
        <w:rPr>
          <w:rFonts w:ascii="Times New Roman" w:hAnsi="Times New Roman" w:cs="Times New Roman"/>
          <w:color w:val="000000" w:themeColor="text1"/>
          <w:sz w:val="24"/>
          <w:szCs w:val="24"/>
        </w:rPr>
        <w:t>http://sovet-davlekanovo.ru/rural/polyakovskiy/</w:t>
      </w:r>
      <w:r w:rsidR="00E230A8" w:rsidRPr="00866B57">
        <w:rPr>
          <w:rFonts w:ascii="Times New Roman" w:hAnsi="Times New Roman" w:cs="Times New Roman"/>
          <w:color w:val="000000" w:themeColor="text1"/>
          <w:sz w:val="24"/>
          <w:szCs w:val="24"/>
        </w:rPr>
        <w:t xml:space="preserve">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lastRenderedPageBreak/>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Поляковский 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w:t>
      </w:r>
      <w:r w:rsidRPr="00640A5D">
        <w:rPr>
          <w:rFonts w:ascii="Times New Roman" w:hAnsi="Times New Roman" w:cs="Times New Roman"/>
          <w:color w:val="000000" w:themeColor="text1"/>
          <w:sz w:val="24"/>
          <w:szCs w:val="24"/>
        </w:rPr>
        <w:lastRenderedPageBreak/>
        <w:t>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w:t>
      </w:r>
      <w:r w:rsidRPr="00640A5D">
        <w:rPr>
          <w:rFonts w:ascii="Times New Roman" w:hAnsi="Times New Roman" w:cs="Times New Roman"/>
          <w:color w:val="000000" w:themeColor="text1"/>
          <w:sz w:val="24"/>
          <w:szCs w:val="24"/>
        </w:rPr>
        <w:lastRenderedPageBreak/>
        <w:t>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охотхозяйственное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3F4143">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3F4143">
        <w:rPr>
          <w:rFonts w:ascii="Times New Roman" w:eastAsia="Times New Roman" w:hAnsi="Times New Roman" w:cs="Times New Roman"/>
          <w:sz w:val="24"/>
          <w:szCs w:val="24"/>
          <w:lang w:eastAsia="ru-RU"/>
        </w:rPr>
        <w:t xml:space="preserve">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w:t>
      </w:r>
      <w:r w:rsidRPr="00640A5D">
        <w:rPr>
          <w:rFonts w:ascii="Times New Roman" w:eastAsia="Times New Roman" w:hAnsi="Times New Roman" w:cs="Times New Roman"/>
          <w:sz w:val="24"/>
          <w:szCs w:val="24"/>
          <w:lang w:eastAsia="ru-RU"/>
        </w:rPr>
        <w:lastRenderedPageBreak/>
        <w:t>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w:t>
      </w:r>
      <w:r w:rsidRPr="00640A5D">
        <w:rPr>
          <w:rFonts w:ascii="Times New Roman" w:eastAsia="Times New Roman" w:hAnsi="Times New Roman" w:cs="Times New Roman"/>
          <w:sz w:val="24"/>
          <w:szCs w:val="24"/>
          <w:lang w:eastAsia="ru-RU"/>
        </w:rPr>
        <w:lastRenderedPageBreak/>
        <w:t>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3F4143">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640A5D">
        <w:rPr>
          <w:rFonts w:ascii="Times New Roman" w:eastAsia="Calibri" w:hAnsi="Times New Roman" w:cs="Times New Roman"/>
          <w:sz w:val="24"/>
          <w:szCs w:val="24"/>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C422A1" w:rsidRPr="00640A5D">
        <w:rPr>
          <w:color w:val="000000" w:themeColor="text1"/>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lastRenderedPageBreak/>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документов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 xml:space="preserve">аявителей. </w:t>
      </w:r>
      <w:r w:rsidRPr="00640A5D">
        <w:rPr>
          <w:rFonts w:ascii="Times New Roman" w:hAnsi="Times New Roman" w:cs="Times New Roman"/>
          <w:color w:val="000000" w:themeColor="text1"/>
          <w:sz w:val="24"/>
          <w:szCs w:val="24"/>
        </w:rPr>
        <w:lastRenderedPageBreak/>
        <w:t>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допуск сурдопереводчика и тифлосурдопереводчика;</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doc, docx, txt, xls, xlsx, rtf.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085365" w:rsidRPr="00640A5D">
        <w:rPr>
          <w:rFonts w:ascii="Times New Roman" w:eastAsia="Calibri" w:hAnsi="Times New Roman" w:cs="Times New Roman"/>
          <w:color w:val="000000" w:themeColor="text1"/>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6) реквизиты документа (-ов),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403DB5"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при личном присутствии заявителя (представителя заявителя)  в </w:t>
      </w:r>
      <w:r w:rsidRPr="00640A5D">
        <w:rPr>
          <w:rFonts w:ascii="Times New Roman" w:hAnsi="Times New Roman" w:cs="Times New Roman"/>
          <w:bCs/>
          <w:color w:val="000000" w:themeColor="text1"/>
          <w:sz w:val="24"/>
          <w:szCs w:val="24"/>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w:t>
      </w:r>
      <w:r w:rsidRPr="00640A5D">
        <w:rPr>
          <w:rFonts w:ascii="Times New Roman" w:hAnsi="Times New Roman"/>
          <w:sz w:val="24"/>
          <w:szCs w:val="24"/>
        </w:rPr>
        <w:lastRenderedPageBreak/>
        <w:t>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3F4143" w:rsidRDefault="003F4143"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CE7435"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00311AB6"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CE7435"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правильные сведения)</w:t>
      </w:r>
    </w:p>
    <w:p w:rsidR="00311AB6" w:rsidRPr="00CE7435"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 xml:space="preserve"> К заявлению прилагаются: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Д</w:t>
      </w:r>
      <w:r w:rsidR="00311AB6" w:rsidRPr="00CE7435">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О</w:t>
      </w:r>
      <w:r w:rsidR="00020CA7" w:rsidRPr="00CE7435">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CE7435">
      <w:pPr>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BE312C" w:rsidRDefault="00CE7435" w:rsidP="00BE31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w:t>
      </w:r>
      <w:r w:rsidR="00AE05BB" w:rsidRPr="00AE05BB">
        <w:rPr>
          <w:rFonts w:ascii="Times New Roman" w:hAnsi="Times New Roman" w:cs="Times New Roman"/>
          <w:color w:val="000000" w:themeColor="text1"/>
          <w:sz w:val="24"/>
          <w:szCs w:val="24"/>
        </w:rPr>
        <w:t>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CE7435">
      <w:pPr>
        <w:spacing w:after="0" w:line="240" w:lineRule="auto"/>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(указываются доводы, а также реквизиты документа(-ов), обосновывающ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К заявлению прилагаются: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D7357C" w:rsidRDefault="00D7357C" w:rsidP="00020CA7">
      <w:pPr>
        <w:rPr>
          <w:rFonts w:ascii="Times New Roman" w:hAnsi="Times New Roman" w:cs="Times New Roman"/>
          <w:color w:val="000000" w:themeColor="text1"/>
          <w:sz w:val="24"/>
          <w:szCs w:val="24"/>
        </w:rPr>
        <w:sectPr w:rsidR="00D7357C" w:rsidSect="004152A6">
          <w:headerReference w:type="default" r:id="rId119"/>
          <w:pgSz w:w="11906" w:h="16838"/>
          <w:pgMar w:top="1134" w:right="680" w:bottom="1134" w:left="1701" w:header="709" w:footer="709" w:gutter="0"/>
          <w:cols w:space="708"/>
          <w:titlePg/>
          <w:docGrid w:linePitch="360"/>
        </w:sectPr>
      </w:pPr>
      <w:bookmarkStart w:id="1" w:name="_GoBack"/>
      <w:bookmarkEnd w:id="1"/>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B5" w:rsidRDefault="00403DB5">
      <w:pPr>
        <w:spacing w:after="0" w:line="240" w:lineRule="auto"/>
      </w:pPr>
      <w:r>
        <w:separator/>
      </w:r>
    </w:p>
  </w:endnote>
  <w:endnote w:type="continuationSeparator" w:id="0">
    <w:p w:rsidR="00403DB5" w:rsidRDefault="0040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B5" w:rsidRDefault="00403DB5">
      <w:pPr>
        <w:spacing w:after="0" w:line="240" w:lineRule="auto"/>
      </w:pPr>
      <w:r>
        <w:separator/>
      </w:r>
    </w:p>
  </w:footnote>
  <w:footnote w:type="continuationSeparator" w:id="0">
    <w:p w:rsidR="00403DB5" w:rsidRDefault="0040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CE7435">
          <w:rPr>
            <w:rFonts w:ascii="Times New Roman" w:hAnsi="Times New Roman" w:cs="Times New Roman"/>
            <w:noProof/>
            <w:sz w:val="24"/>
            <w:szCs w:val="24"/>
          </w:rPr>
          <w:t>62</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4143"/>
    <w:rsid w:val="003F583B"/>
    <w:rsid w:val="003F595B"/>
    <w:rsid w:val="00400053"/>
    <w:rsid w:val="00401C4C"/>
    <w:rsid w:val="00403DB5"/>
    <w:rsid w:val="00405166"/>
    <w:rsid w:val="00407E98"/>
    <w:rsid w:val="0041007D"/>
    <w:rsid w:val="004115E4"/>
    <w:rsid w:val="00413046"/>
    <w:rsid w:val="004152A6"/>
    <w:rsid w:val="00415AE9"/>
    <w:rsid w:val="00416872"/>
    <w:rsid w:val="00416C91"/>
    <w:rsid w:val="00422E17"/>
    <w:rsid w:val="004230BF"/>
    <w:rsid w:val="00423E6A"/>
    <w:rsid w:val="00426C7A"/>
    <w:rsid w:val="00426CDC"/>
    <w:rsid w:val="00426D7E"/>
    <w:rsid w:val="00427E92"/>
    <w:rsid w:val="004300D1"/>
    <w:rsid w:val="004313EB"/>
    <w:rsid w:val="00431A9C"/>
    <w:rsid w:val="0043296F"/>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435"/>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153F"/>
  <w15:docId w15:val="{52612879-0C1A-4EB8-A855-CE6BD82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http://sovet-"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7027-DDB6-495C-AA6B-469C13C9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63</Pages>
  <Words>27167</Words>
  <Characters>154857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9</cp:revision>
  <cp:lastPrinted>2022-03-30T09:49:00Z</cp:lastPrinted>
  <dcterms:created xsi:type="dcterms:W3CDTF">2022-04-14T07:01:00Z</dcterms:created>
  <dcterms:modified xsi:type="dcterms:W3CDTF">2022-05-27T04:43:00Z</dcterms:modified>
</cp:coreProperties>
</file>